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F8A0" w14:textId="63B38517" w:rsidR="00E24332" w:rsidRDefault="0099230B" w:rsidP="00273B0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273B04">
        <w:rPr>
          <w:noProof/>
          <w:lang w:eastAsia="en-CA"/>
        </w:rPr>
        <w:drawing>
          <wp:inline distT="0" distB="0" distL="0" distR="0" wp14:anchorId="63F70C33" wp14:editId="2BE0DE46">
            <wp:extent cx="3543300" cy="998691"/>
            <wp:effectExtent l="0" t="0" r="0" b="0"/>
            <wp:docPr id="1" name="Picture 1" descr="C:\Users\MPWA\AppData\Local\Microsoft\Windows\Temporary Internet Files\Content.Word\Mighty Peace Watershed Alli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WA\AppData\Local\Microsoft\Windows\Temporary Internet Files\Content.Word\Mighty Peace Watershed Allian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59" cy="10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E5E5" w14:textId="7BDA8A9E" w:rsidR="00C17D74" w:rsidRDefault="00C17D74" w:rsidP="00C17D74">
      <w:pPr>
        <w:spacing w:after="0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Integrated Watershed Management Plan</w:t>
      </w:r>
      <w:r w:rsidR="00576FCC">
        <w:rPr>
          <w:b/>
          <w:sz w:val="28"/>
          <w:szCs w:val="28"/>
        </w:rPr>
        <w:t xml:space="preserve"> Steering </w:t>
      </w:r>
      <w:r>
        <w:rPr>
          <w:b/>
          <w:sz w:val="28"/>
          <w:szCs w:val="28"/>
        </w:rPr>
        <w:t>Committee</w:t>
      </w:r>
      <w:r w:rsidR="001C3BB5">
        <w:rPr>
          <w:b/>
          <w:sz w:val="28"/>
          <w:szCs w:val="28"/>
        </w:rPr>
        <w:t xml:space="preserve"> </w:t>
      </w:r>
      <w:r w:rsidR="00624F4C">
        <w:rPr>
          <w:b/>
          <w:sz w:val="28"/>
          <w:szCs w:val="28"/>
        </w:rPr>
        <w:t>(IWMP SC)</w:t>
      </w:r>
    </w:p>
    <w:p w14:paraId="0C7B5EE2" w14:textId="77777777" w:rsidR="00C1582D" w:rsidRPr="00C1582D" w:rsidRDefault="00C1582D" w:rsidP="009503F0">
      <w:pPr>
        <w:ind w:left="142" w:hanging="142"/>
        <w:jc w:val="center"/>
        <w:rPr>
          <w:b/>
          <w:sz w:val="28"/>
          <w:szCs w:val="28"/>
        </w:rPr>
      </w:pPr>
      <w:r w:rsidRPr="00C1582D">
        <w:rPr>
          <w:b/>
          <w:sz w:val="28"/>
          <w:szCs w:val="28"/>
        </w:rPr>
        <w:t xml:space="preserve"> Terms of Reference</w:t>
      </w:r>
    </w:p>
    <w:p w14:paraId="73F3ABA9" w14:textId="26C75AA0" w:rsidR="00C1582D" w:rsidRDefault="00C1582D" w:rsidP="009503F0">
      <w:r>
        <w:t xml:space="preserve">The following document describes the purpose and structure of </w:t>
      </w:r>
      <w:r w:rsidR="00E5292B">
        <w:t>this committee including what it</w:t>
      </w:r>
      <w:r>
        <w:t xml:space="preserve"> plans to achieve, who will participate, how it will do its work and when it will be achieved.</w:t>
      </w:r>
      <w:r w:rsidR="00194B41">
        <w:t xml:space="preserve"> The Board of Directors approved these Terms of Reference on </w:t>
      </w:r>
      <w:r w:rsidR="002E5892">
        <w:t>__________________________.</w:t>
      </w:r>
    </w:p>
    <w:p w14:paraId="660D6F00" w14:textId="77777777" w:rsidR="00C1582D" w:rsidRDefault="00C1582D" w:rsidP="009503F0">
      <w:pPr>
        <w:rPr>
          <w:b/>
          <w:sz w:val="28"/>
          <w:szCs w:val="28"/>
        </w:rPr>
      </w:pPr>
      <w:r w:rsidRPr="00C1582D">
        <w:rPr>
          <w:b/>
          <w:sz w:val="28"/>
          <w:szCs w:val="28"/>
        </w:rPr>
        <w:t>Context</w:t>
      </w:r>
    </w:p>
    <w:p w14:paraId="2C682F8A" w14:textId="77777777" w:rsidR="00576FCC" w:rsidRDefault="00C1582D" w:rsidP="009503F0">
      <w:r>
        <w:t>The Mighty Peace Watershed Alliance Society</w:t>
      </w:r>
      <w:r w:rsidR="00576FCC">
        <w:t xml:space="preserve"> (MPWA) is a multi-stakeholder not-for-profit organization register</w:t>
      </w:r>
      <w:r w:rsidR="00E5292B">
        <w:t>e</w:t>
      </w:r>
      <w:r w:rsidR="00576FCC">
        <w:t xml:space="preserve">d under Alberta’s Society Act. The MPWA is one of several </w:t>
      </w:r>
      <w:r w:rsidR="00576FCC">
        <w:rPr>
          <w:i/>
        </w:rPr>
        <w:t>Watershed Planning and Advisory Councils</w:t>
      </w:r>
      <w:r w:rsidR="00576FCC">
        <w:t xml:space="preserve"> created under Alberta’s </w:t>
      </w:r>
      <w:r w:rsidR="00576FCC">
        <w:rPr>
          <w:i/>
        </w:rPr>
        <w:t xml:space="preserve">Water for Life </w:t>
      </w:r>
      <w:r w:rsidR="00576FCC">
        <w:t>strategy. The MPWA is committed to achieving and implementing the three goals of the strategy:</w:t>
      </w:r>
    </w:p>
    <w:p w14:paraId="33F4811F" w14:textId="77777777" w:rsidR="00C1582D" w:rsidRDefault="00576FCC" w:rsidP="00576FCC">
      <w:pPr>
        <w:pStyle w:val="ListParagraph"/>
        <w:numPr>
          <w:ilvl w:val="0"/>
          <w:numId w:val="12"/>
        </w:numPr>
      </w:pPr>
      <w:r>
        <w:t>Safe, secure drinking water supply</w:t>
      </w:r>
    </w:p>
    <w:p w14:paraId="460A60BF" w14:textId="77777777" w:rsidR="00576FCC" w:rsidRDefault="00576FCC" w:rsidP="00576FCC">
      <w:pPr>
        <w:pStyle w:val="ListParagraph"/>
        <w:numPr>
          <w:ilvl w:val="0"/>
          <w:numId w:val="12"/>
        </w:numPr>
      </w:pPr>
      <w:r>
        <w:t>Healthy aquatic ecosystems</w:t>
      </w:r>
    </w:p>
    <w:p w14:paraId="172E5B1A" w14:textId="77777777" w:rsidR="00576FCC" w:rsidRDefault="00576FCC" w:rsidP="00576FCC">
      <w:pPr>
        <w:pStyle w:val="ListParagraph"/>
        <w:numPr>
          <w:ilvl w:val="0"/>
          <w:numId w:val="12"/>
        </w:numPr>
      </w:pPr>
      <w:r>
        <w:t>Reliable, quality water supplies for a sustainable economy.</w:t>
      </w:r>
    </w:p>
    <w:p w14:paraId="6869B482" w14:textId="77777777" w:rsidR="00576FCC" w:rsidRDefault="00576FCC" w:rsidP="00576FCC">
      <w:r>
        <w:t xml:space="preserve">The implementation of these goals is guided by the vision, mission and shared values of the MPWA: </w:t>
      </w:r>
    </w:p>
    <w:p w14:paraId="3A3EC4AE" w14:textId="77777777" w:rsidR="00576FCC" w:rsidRPr="00576FCC" w:rsidRDefault="00576FCC" w:rsidP="00576FCC">
      <w:r>
        <w:rPr>
          <w:b/>
        </w:rPr>
        <w:tab/>
        <w:t xml:space="preserve">Vision – </w:t>
      </w:r>
      <w:r>
        <w:t xml:space="preserve">The Peace is a healthy, sustainable watershed that supports our social environmental </w:t>
      </w:r>
      <w:r>
        <w:tab/>
        <w:t>and economic objectives.</w:t>
      </w:r>
    </w:p>
    <w:p w14:paraId="150C1ECE" w14:textId="77777777" w:rsidR="00C1582D" w:rsidRDefault="00576FCC" w:rsidP="00E24332">
      <w:pPr>
        <w:ind w:left="360"/>
      </w:pPr>
      <w:r>
        <w:tab/>
      </w:r>
      <w:r>
        <w:rPr>
          <w:b/>
        </w:rPr>
        <w:t xml:space="preserve">Mission – </w:t>
      </w:r>
      <w:r>
        <w:t xml:space="preserve">To promote watershed excellence, the Mighty Peace Watershed Alliance will monitor </w:t>
      </w:r>
      <w:r>
        <w:tab/>
        <w:t xml:space="preserve">cumulative effects from land use practices, industry and other activities in the watershed and </w:t>
      </w:r>
      <w:r>
        <w:tab/>
        <w:t xml:space="preserve">work to address issues through science, education, communication policy and by supporting </w:t>
      </w:r>
      <w:r>
        <w:tab/>
        <w:t>watershed stewardship.</w:t>
      </w:r>
    </w:p>
    <w:p w14:paraId="0D068547" w14:textId="77777777" w:rsidR="00576FCC" w:rsidRDefault="00576FCC" w:rsidP="00E24332">
      <w:pPr>
        <w:ind w:left="360"/>
      </w:pPr>
      <w:r>
        <w:rPr>
          <w:b/>
        </w:rPr>
        <w:tab/>
      </w:r>
      <w:r w:rsidR="00B015C5">
        <w:rPr>
          <w:b/>
        </w:rPr>
        <w:t xml:space="preserve">Shared Values </w:t>
      </w:r>
      <w:r w:rsidR="00B06BC7">
        <w:rPr>
          <w:b/>
        </w:rPr>
        <w:t xml:space="preserve">- </w:t>
      </w:r>
      <w:r w:rsidR="00B06BC7">
        <w:t>The</w:t>
      </w:r>
      <w:r w:rsidR="00B015C5">
        <w:t xml:space="preserve"> Mighty Peace Watershed Alliance will: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6"/>
        <w:gridCol w:w="6004"/>
      </w:tblGrid>
      <w:tr w:rsidR="00B015C5" w14:paraId="49CE483E" w14:textId="77777777" w:rsidTr="009042FC">
        <w:tc>
          <w:tcPr>
            <w:tcW w:w="3009" w:type="dxa"/>
          </w:tcPr>
          <w:p w14:paraId="4E33B05C" w14:textId="77777777" w:rsidR="009042FC" w:rsidRPr="009042FC" w:rsidRDefault="009042FC" w:rsidP="00E24332">
            <w:pPr>
              <w:rPr>
                <w:b/>
              </w:rPr>
            </w:pPr>
            <w:r>
              <w:rPr>
                <w:b/>
              </w:rPr>
              <w:t>Respect a diversity of peoples and values</w:t>
            </w:r>
          </w:p>
        </w:tc>
        <w:tc>
          <w:tcPr>
            <w:tcW w:w="6207" w:type="dxa"/>
          </w:tcPr>
          <w:p w14:paraId="3001A2C6" w14:textId="77777777" w:rsidR="00B015C5" w:rsidRPr="009042FC" w:rsidRDefault="009042FC" w:rsidP="00E24332">
            <w:pPr>
              <w:rPr>
                <w:i/>
              </w:rPr>
            </w:pPr>
            <w:r>
              <w:rPr>
                <w:i/>
              </w:rPr>
              <w:t xml:space="preserve">By demonstrating individual and </w:t>
            </w:r>
            <w:r w:rsidR="00B06BC7">
              <w:rPr>
                <w:i/>
              </w:rPr>
              <w:t>c</w:t>
            </w:r>
            <w:r>
              <w:rPr>
                <w:i/>
              </w:rPr>
              <w:t>ollective respect for the air, land and water and by appreciating the diversity of values and opinions found in the Peace watershed.</w:t>
            </w:r>
          </w:p>
        </w:tc>
      </w:tr>
      <w:tr w:rsidR="00B015C5" w14:paraId="21CBA2C8" w14:textId="77777777" w:rsidTr="009042FC">
        <w:tc>
          <w:tcPr>
            <w:tcW w:w="3009" w:type="dxa"/>
          </w:tcPr>
          <w:p w14:paraId="09B642DA" w14:textId="77777777" w:rsidR="00B015C5" w:rsidRPr="009042FC" w:rsidRDefault="009042FC" w:rsidP="009042FC">
            <w:pPr>
              <w:ind w:right="1093"/>
              <w:rPr>
                <w:b/>
              </w:rPr>
            </w:pPr>
            <w:r w:rsidRPr="009042FC">
              <w:rPr>
                <w:b/>
              </w:rPr>
              <w:t>Be an ambassador</w:t>
            </w:r>
          </w:p>
        </w:tc>
        <w:tc>
          <w:tcPr>
            <w:tcW w:w="6207" w:type="dxa"/>
          </w:tcPr>
          <w:p w14:paraId="302F4DE2" w14:textId="77777777" w:rsidR="00B015C5" w:rsidRPr="009042FC" w:rsidRDefault="009042FC" w:rsidP="00E24332">
            <w:pPr>
              <w:rPr>
                <w:i/>
              </w:rPr>
            </w:pPr>
            <w:r w:rsidRPr="009042FC">
              <w:rPr>
                <w:i/>
              </w:rPr>
              <w:t>By promoting our vision and mission, demonstrating integrity, accountability and practicality, and practicing effective communication, knowledge-building and consensus decision-making.</w:t>
            </w:r>
          </w:p>
        </w:tc>
      </w:tr>
      <w:tr w:rsidR="00B015C5" w14:paraId="54AFC1FC" w14:textId="77777777" w:rsidTr="009042FC">
        <w:tc>
          <w:tcPr>
            <w:tcW w:w="3009" w:type="dxa"/>
          </w:tcPr>
          <w:p w14:paraId="1C3097AB" w14:textId="77777777" w:rsidR="00B015C5" w:rsidRPr="009042FC" w:rsidRDefault="007D20D7" w:rsidP="00F446A5">
            <w:pPr>
              <w:ind w:right="176"/>
              <w:rPr>
                <w:b/>
              </w:rPr>
            </w:pPr>
            <w:r>
              <w:rPr>
                <w:b/>
              </w:rPr>
              <w:lastRenderedPageBreak/>
              <w:t>Be a</w:t>
            </w:r>
            <w:r w:rsidR="009042FC" w:rsidRPr="009042FC">
              <w:rPr>
                <w:b/>
              </w:rPr>
              <w:t xml:space="preserve"> trustworthy and credible source of information</w:t>
            </w:r>
          </w:p>
        </w:tc>
        <w:tc>
          <w:tcPr>
            <w:tcW w:w="6207" w:type="dxa"/>
          </w:tcPr>
          <w:p w14:paraId="0F3739C4" w14:textId="77777777" w:rsidR="00B015C5" w:rsidRPr="009042FC" w:rsidRDefault="009042FC" w:rsidP="00E24332">
            <w:pPr>
              <w:rPr>
                <w:i/>
              </w:rPr>
            </w:pPr>
            <w:r w:rsidRPr="009042FC">
              <w:rPr>
                <w:i/>
              </w:rPr>
              <w:t>By being well-informed and providing sound advice through an adaptive watershed approach that integrates traditional local and scientific knowledge in information-gathering and problem solving.</w:t>
            </w:r>
          </w:p>
        </w:tc>
      </w:tr>
      <w:tr w:rsidR="00B015C5" w14:paraId="135E42AB" w14:textId="77777777" w:rsidTr="009042FC">
        <w:tc>
          <w:tcPr>
            <w:tcW w:w="3009" w:type="dxa"/>
          </w:tcPr>
          <w:p w14:paraId="75B1B9B5" w14:textId="77777777" w:rsidR="00B015C5" w:rsidRPr="009042FC" w:rsidRDefault="009042FC" w:rsidP="009042FC">
            <w:pPr>
              <w:ind w:right="1093"/>
              <w:rPr>
                <w:b/>
              </w:rPr>
            </w:pPr>
            <w:r w:rsidRPr="009042FC">
              <w:rPr>
                <w:b/>
              </w:rPr>
              <w:t>Be fair and transparent to all</w:t>
            </w:r>
          </w:p>
        </w:tc>
        <w:tc>
          <w:tcPr>
            <w:tcW w:w="6207" w:type="dxa"/>
          </w:tcPr>
          <w:p w14:paraId="3E2E5ACD" w14:textId="77777777" w:rsidR="00B015C5" w:rsidRPr="009042FC" w:rsidRDefault="009042FC" w:rsidP="00E24332">
            <w:pPr>
              <w:rPr>
                <w:i/>
              </w:rPr>
            </w:pPr>
            <w:r w:rsidRPr="009042FC">
              <w:rPr>
                <w:i/>
              </w:rPr>
              <w:t>By seeking balanced representation and listening to all stakeholders in an open, transparent manner.</w:t>
            </w:r>
          </w:p>
        </w:tc>
      </w:tr>
      <w:tr w:rsidR="00B015C5" w14:paraId="21C42CB4" w14:textId="77777777" w:rsidTr="009042FC">
        <w:tc>
          <w:tcPr>
            <w:tcW w:w="3009" w:type="dxa"/>
          </w:tcPr>
          <w:p w14:paraId="22304595" w14:textId="77777777" w:rsidR="00B015C5" w:rsidRPr="009042FC" w:rsidRDefault="009042FC" w:rsidP="009042FC">
            <w:pPr>
              <w:ind w:right="1093"/>
              <w:rPr>
                <w:b/>
              </w:rPr>
            </w:pPr>
            <w:r w:rsidRPr="009042FC">
              <w:rPr>
                <w:b/>
              </w:rPr>
              <w:t>Be inclusive and collaborative</w:t>
            </w:r>
          </w:p>
        </w:tc>
        <w:tc>
          <w:tcPr>
            <w:tcW w:w="6207" w:type="dxa"/>
          </w:tcPr>
          <w:p w14:paraId="30EA2618" w14:textId="77777777" w:rsidR="00B015C5" w:rsidRPr="009042FC" w:rsidRDefault="009042FC" w:rsidP="00E24332">
            <w:pPr>
              <w:rPr>
                <w:i/>
              </w:rPr>
            </w:pPr>
            <w:r w:rsidRPr="009042FC">
              <w:rPr>
                <w:i/>
              </w:rPr>
              <w:t>By facilitating inclusive and collaborative processes and partnerships, promoting membership and interaction and providing opportunities for all stakeholders to be involved.</w:t>
            </w:r>
          </w:p>
        </w:tc>
      </w:tr>
      <w:tr w:rsidR="00B015C5" w14:paraId="515030A9" w14:textId="77777777" w:rsidTr="009042FC">
        <w:tc>
          <w:tcPr>
            <w:tcW w:w="3009" w:type="dxa"/>
          </w:tcPr>
          <w:p w14:paraId="7DF3C1E4" w14:textId="77777777" w:rsidR="00B015C5" w:rsidRPr="009042FC" w:rsidRDefault="00AA3980" w:rsidP="00F446A5">
            <w:pPr>
              <w:ind w:right="318"/>
              <w:rPr>
                <w:b/>
              </w:rPr>
            </w:pPr>
            <w:r>
              <w:rPr>
                <w:b/>
              </w:rPr>
              <w:t xml:space="preserve"> </w:t>
            </w:r>
            <w:r w:rsidR="00F446A5">
              <w:rPr>
                <w:b/>
              </w:rPr>
              <w:t>Be action-oriented and innovative</w:t>
            </w:r>
          </w:p>
        </w:tc>
        <w:tc>
          <w:tcPr>
            <w:tcW w:w="6207" w:type="dxa"/>
          </w:tcPr>
          <w:p w14:paraId="0B623321" w14:textId="77777777" w:rsidR="00B015C5" w:rsidRPr="009042FC" w:rsidRDefault="009042FC" w:rsidP="009042FC">
            <w:pPr>
              <w:rPr>
                <w:i/>
              </w:rPr>
            </w:pPr>
            <w:r w:rsidRPr="009042FC">
              <w:rPr>
                <w:i/>
              </w:rPr>
              <w:t>By being motivated, resourceful and action-oriented in finding new, innovative ideas and win-win strategies.</w:t>
            </w:r>
          </w:p>
        </w:tc>
      </w:tr>
      <w:tr w:rsidR="00B015C5" w14:paraId="02419D49" w14:textId="77777777" w:rsidTr="009042FC">
        <w:tc>
          <w:tcPr>
            <w:tcW w:w="3009" w:type="dxa"/>
          </w:tcPr>
          <w:p w14:paraId="0C679BAA" w14:textId="77777777" w:rsidR="00B015C5" w:rsidRPr="009042FC" w:rsidRDefault="009042FC" w:rsidP="009042FC">
            <w:pPr>
              <w:ind w:right="1093"/>
              <w:rPr>
                <w:b/>
              </w:rPr>
            </w:pPr>
            <w:r w:rsidRPr="009042FC">
              <w:rPr>
                <w:b/>
              </w:rPr>
              <w:t>Foster stewardship</w:t>
            </w:r>
          </w:p>
        </w:tc>
        <w:tc>
          <w:tcPr>
            <w:tcW w:w="6207" w:type="dxa"/>
          </w:tcPr>
          <w:p w14:paraId="7DCB7B2E" w14:textId="77777777" w:rsidR="00B015C5" w:rsidRPr="009042FC" w:rsidRDefault="009042FC" w:rsidP="00E24332">
            <w:pPr>
              <w:rPr>
                <w:i/>
              </w:rPr>
            </w:pPr>
            <w:r w:rsidRPr="009042FC">
              <w:rPr>
                <w:i/>
              </w:rPr>
              <w:t xml:space="preserve">By encouraging and </w:t>
            </w:r>
            <w:r w:rsidR="00B06BC7">
              <w:rPr>
                <w:i/>
              </w:rPr>
              <w:t>enabling individuals and organi</w:t>
            </w:r>
            <w:r w:rsidR="00B06BC7" w:rsidRPr="009042FC">
              <w:rPr>
                <w:i/>
              </w:rPr>
              <w:t>zations</w:t>
            </w:r>
            <w:r w:rsidRPr="009042FC">
              <w:rPr>
                <w:i/>
              </w:rPr>
              <w:t xml:space="preserve"> to </w:t>
            </w:r>
            <w:r w:rsidR="00B06BC7">
              <w:rPr>
                <w:i/>
              </w:rPr>
              <w:t xml:space="preserve">be </w:t>
            </w:r>
            <w:r w:rsidRPr="009042FC">
              <w:rPr>
                <w:i/>
              </w:rPr>
              <w:t xml:space="preserve">good stewards </w:t>
            </w:r>
            <w:r w:rsidR="00B06BC7" w:rsidRPr="009042FC">
              <w:rPr>
                <w:i/>
              </w:rPr>
              <w:t>of</w:t>
            </w:r>
            <w:r w:rsidRPr="009042FC">
              <w:rPr>
                <w:i/>
              </w:rPr>
              <w:t xml:space="preserve"> the watershed.</w:t>
            </w:r>
          </w:p>
        </w:tc>
      </w:tr>
    </w:tbl>
    <w:p w14:paraId="2A3B9984" w14:textId="77777777" w:rsidR="009503F0" w:rsidRDefault="009503F0" w:rsidP="00D87099">
      <w:pPr>
        <w:pStyle w:val="ListParagraph"/>
        <w:ind w:left="1080"/>
      </w:pPr>
    </w:p>
    <w:p w14:paraId="4B7D25EF" w14:textId="3E2579BA" w:rsidR="00194B41" w:rsidRPr="00FD71C4" w:rsidRDefault="00194B41" w:rsidP="00FD71C4">
      <w:pPr>
        <w:rPr>
          <w:b/>
          <w:sz w:val="28"/>
          <w:szCs w:val="28"/>
        </w:rPr>
      </w:pPr>
      <w:r w:rsidRPr="00FD71C4">
        <w:rPr>
          <w:b/>
          <w:sz w:val="28"/>
          <w:szCs w:val="28"/>
        </w:rPr>
        <w:t>Committee Purpose</w:t>
      </w:r>
    </w:p>
    <w:p w14:paraId="1B252F86" w14:textId="1F48CF86" w:rsidR="009503F0" w:rsidRPr="009042FC" w:rsidRDefault="0026113C" w:rsidP="00FD71C4">
      <w:r>
        <w:t xml:space="preserve"> Originally, this committee oversaw the development of the </w:t>
      </w:r>
      <w:r w:rsidR="002E5892">
        <w:t xml:space="preserve">2015 State of the Peace and Slave Watersheds (SOW) </w:t>
      </w:r>
      <w:r w:rsidR="00971B04">
        <w:t xml:space="preserve">and the 2018 </w:t>
      </w:r>
      <w:r>
        <w:t>Integrated Watershed Management Plan</w:t>
      </w:r>
      <w:r w:rsidR="00624F4C">
        <w:t xml:space="preserve"> (IWMP)</w:t>
      </w:r>
      <w:r>
        <w:t>. However, upon completion of this task the committee was tasked by the Board of Directors with the following.</w:t>
      </w:r>
    </w:p>
    <w:p w14:paraId="74ED5A49" w14:textId="6895E74D" w:rsidR="00157606" w:rsidRDefault="00D87099" w:rsidP="00C17D74">
      <w:pPr>
        <w:pStyle w:val="ListParagraph"/>
        <w:numPr>
          <w:ilvl w:val="0"/>
          <w:numId w:val="15"/>
        </w:numPr>
      </w:pPr>
      <w:r>
        <w:t xml:space="preserve">To </w:t>
      </w:r>
      <w:r w:rsidR="0026113C">
        <w:t xml:space="preserve">review and implementation of the </w:t>
      </w:r>
      <w:r w:rsidR="00624F4C">
        <w:t>IWMP</w:t>
      </w:r>
      <w:r w:rsidR="0026113C">
        <w:t xml:space="preserve"> recommendations </w:t>
      </w:r>
    </w:p>
    <w:p w14:paraId="281D6461" w14:textId="7B5652C4" w:rsidR="00C17D74" w:rsidRDefault="00157606" w:rsidP="00FD71C4">
      <w:pPr>
        <w:pStyle w:val="ListParagraph"/>
        <w:numPr>
          <w:ilvl w:val="0"/>
          <w:numId w:val="15"/>
        </w:numPr>
      </w:pPr>
      <w:r>
        <w:t>T</w:t>
      </w:r>
      <w:r w:rsidR="0026113C">
        <w:t xml:space="preserve">o provide recommendations to Board on how to further implementation of the </w:t>
      </w:r>
      <w:r w:rsidR="00624F4C">
        <w:t>IWMP</w:t>
      </w:r>
      <w:r w:rsidR="00C17D74">
        <w:t xml:space="preserve">. </w:t>
      </w:r>
    </w:p>
    <w:p w14:paraId="011709D3" w14:textId="117F4DF2" w:rsidR="00BE2ED9" w:rsidRPr="00D87099" w:rsidRDefault="00351603" w:rsidP="00FD71C4">
      <w:pPr>
        <w:pStyle w:val="ListParagraph"/>
        <w:numPr>
          <w:ilvl w:val="0"/>
          <w:numId w:val="15"/>
        </w:numPr>
      </w:pPr>
      <w:r>
        <w:t>To oversee renewals, updates and iterations of the</w:t>
      </w:r>
      <w:r w:rsidR="00971B04">
        <w:t xml:space="preserve"> SOW</w:t>
      </w:r>
      <w:r>
        <w:t>.</w:t>
      </w:r>
    </w:p>
    <w:p w14:paraId="4CC90093" w14:textId="77777777" w:rsidR="007F015C" w:rsidRDefault="007F015C" w:rsidP="00FD7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Objectives</w:t>
      </w:r>
    </w:p>
    <w:p w14:paraId="5627F0FA" w14:textId="6221D4CB" w:rsidR="007F015C" w:rsidRDefault="007F015C" w:rsidP="007F015C">
      <w:pPr>
        <w:ind w:left="567"/>
      </w:pPr>
      <w:r>
        <w:t xml:space="preserve">This committee will oversee </w:t>
      </w:r>
      <w:r w:rsidR="0026113C">
        <w:t xml:space="preserve">an annual review of any implementation </w:t>
      </w:r>
      <w:r w:rsidR="006B23CD">
        <w:t>that has occurred on recommendations of the Integrated Watershed Management Plan. As recommendations in this plan were directed at decision-makers within the watershed, MPWA often has no direct influence over certain aspects of implementation.  Subsequently, this committee’s work involves assessing action taken not only by MPWA but also decision-makers throughout the watershed and considering how to support other organizations in implementing the recommendations.</w:t>
      </w:r>
    </w:p>
    <w:p w14:paraId="7DF5AC73" w14:textId="1D378841" w:rsidR="00351603" w:rsidRDefault="00351603" w:rsidP="007F015C">
      <w:pPr>
        <w:ind w:left="567"/>
      </w:pPr>
      <w:r>
        <w:t xml:space="preserve">In following the principles of adaptive management, </w:t>
      </w:r>
      <w:r w:rsidR="005906EA">
        <w:t xml:space="preserve">this committee will also oversee iterations of the State of the Watershed. </w:t>
      </w:r>
      <w:r w:rsidR="0030552D">
        <w:t>The State of the Watershed measures and communicates about the current condition of the watershed</w:t>
      </w:r>
      <w:r w:rsidR="00AA456D">
        <w:t xml:space="preserve"> and the Integrated Watershed Management plan recommends management actions based on the current condition and the desired condition of the watershed.  </w:t>
      </w:r>
      <w:r w:rsidR="00D63E92">
        <w:t>To maintain a wholistic</w:t>
      </w:r>
      <w:r w:rsidR="00E94AEF">
        <w:t>, integrated</w:t>
      </w:r>
      <w:r w:rsidR="00D63E92">
        <w:t xml:space="preserve"> watershed approach, this committee will oversee </w:t>
      </w:r>
      <w:proofErr w:type="gramStart"/>
      <w:r w:rsidR="00D63E92">
        <w:t xml:space="preserve">both </w:t>
      </w:r>
      <w:r w:rsidR="001828F7">
        <w:t>of these</w:t>
      </w:r>
      <w:proofErr w:type="gramEnd"/>
      <w:r w:rsidR="001828F7">
        <w:t xml:space="preserve"> primary components of watershed management that MP</w:t>
      </w:r>
      <w:r w:rsidR="00524D47">
        <w:t>W</w:t>
      </w:r>
      <w:r w:rsidR="001828F7">
        <w:t xml:space="preserve">A is engaged in. </w:t>
      </w:r>
    </w:p>
    <w:p w14:paraId="7FB42A69" w14:textId="77777777" w:rsidR="00E94AEF" w:rsidRDefault="00E94AEF" w:rsidP="007F015C">
      <w:pPr>
        <w:ind w:left="567"/>
      </w:pPr>
    </w:p>
    <w:p w14:paraId="1632CE26" w14:textId="77777777" w:rsidR="004117B9" w:rsidRDefault="004117B9" w:rsidP="007F015C">
      <w:pPr>
        <w:ind w:left="567"/>
      </w:pPr>
    </w:p>
    <w:p w14:paraId="25740998" w14:textId="77777777" w:rsidR="00D87099" w:rsidRDefault="00D87099" w:rsidP="00FD71C4">
      <w:pPr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lastRenderedPageBreak/>
        <w:t>Membership</w:t>
      </w:r>
    </w:p>
    <w:p w14:paraId="6FA0DC64" w14:textId="77777777" w:rsidR="00D87099" w:rsidRDefault="00E5292B" w:rsidP="00E5292B">
      <w:pPr>
        <w:pStyle w:val="ListParagraph"/>
        <w:numPr>
          <w:ilvl w:val="0"/>
          <w:numId w:val="16"/>
        </w:numPr>
      </w:pPr>
      <w:r>
        <w:t xml:space="preserve">Membership of the </w:t>
      </w:r>
      <w:r w:rsidR="00D67B1A">
        <w:t>Integrated Watershed Management Plan</w:t>
      </w:r>
      <w:r>
        <w:t xml:space="preserve"> Steering Committee must be approved by the board and shall consist of the following classifications:</w:t>
      </w:r>
    </w:p>
    <w:p w14:paraId="0933CFCF" w14:textId="31B96364" w:rsidR="00E5292B" w:rsidRPr="00E5292B" w:rsidRDefault="00E5292B" w:rsidP="00E5292B">
      <w:pPr>
        <w:pStyle w:val="ListParagraph"/>
        <w:numPr>
          <w:ilvl w:val="1"/>
          <w:numId w:val="16"/>
        </w:numPr>
      </w:pPr>
      <w:bookmarkStart w:id="0" w:name="_Hlk111532221"/>
      <w:r>
        <w:t>Chairman of the board (</w:t>
      </w:r>
      <w:r>
        <w:rPr>
          <w:i/>
        </w:rPr>
        <w:t>ex officio)</w:t>
      </w:r>
      <w:r w:rsidR="0026113C">
        <w:rPr>
          <w:i/>
        </w:rPr>
        <w:t xml:space="preserve"> </w:t>
      </w:r>
    </w:p>
    <w:p w14:paraId="23B7E5D5" w14:textId="7C23F9B1" w:rsidR="00E5292B" w:rsidRDefault="00E5292B" w:rsidP="00E5292B">
      <w:pPr>
        <w:pStyle w:val="ListParagraph"/>
        <w:numPr>
          <w:ilvl w:val="1"/>
          <w:numId w:val="16"/>
        </w:numPr>
      </w:pPr>
      <w:r>
        <w:t>A non-government organization</w:t>
      </w:r>
      <w:r w:rsidR="004117B9">
        <w:t xml:space="preserve"> sector </w:t>
      </w:r>
      <w:r>
        <w:t>representative</w:t>
      </w:r>
      <w:r w:rsidR="007F015C">
        <w:t xml:space="preserve"> </w:t>
      </w:r>
    </w:p>
    <w:p w14:paraId="60F8E79B" w14:textId="07D2AA8C" w:rsidR="00E5292B" w:rsidRDefault="00E5292B" w:rsidP="00E5292B">
      <w:pPr>
        <w:pStyle w:val="ListParagraph"/>
        <w:numPr>
          <w:ilvl w:val="1"/>
          <w:numId w:val="16"/>
        </w:numPr>
      </w:pPr>
      <w:r>
        <w:t xml:space="preserve">A government </w:t>
      </w:r>
      <w:r w:rsidR="004117B9">
        <w:t xml:space="preserve">sector </w:t>
      </w:r>
      <w:r>
        <w:t>representative</w:t>
      </w:r>
      <w:r w:rsidR="007F015C">
        <w:t xml:space="preserve"> </w:t>
      </w:r>
    </w:p>
    <w:p w14:paraId="47DA0D3C" w14:textId="63804944" w:rsidR="00E5292B" w:rsidRDefault="00E5292B" w:rsidP="00E5292B">
      <w:pPr>
        <w:pStyle w:val="ListParagraph"/>
        <w:numPr>
          <w:ilvl w:val="1"/>
          <w:numId w:val="16"/>
        </w:numPr>
      </w:pPr>
      <w:r>
        <w:t xml:space="preserve">An </w:t>
      </w:r>
      <w:r w:rsidR="00157606">
        <w:t>Indigenous</w:t>
      </w:r>
      <w:r>
        <w:t xml:space="preserve"> </w:t>
      </w:r>
      <w:r w:rsidR="002929F8">
        <w:t>C</w:t>
      </w:r>
      <w:r>
        <w:t xml:space="preserve">ommunities </w:t>
      </w:r>
      <w:r w:rsidR="004117B9">
        <w:t xml:space="preserve">sector </w:t>
      </w:r>
      <w:r>
        <w:t>representative</w:t>
      </w:r>
      <w:r w:rsidR="007F015C">
        <w:t xml:space="preserve"> </w:t>
      </w:r>
    </w:p>
    <w:p w14:paraId="133A8E2B" w14:textId="12110890" w:rsidR="00E5292B" w:rsidRDefault="00E5292B" w:rsidP="00E5292B">
      <w:pPr>
        <w:pStyle w:val="ListParagraph"/>
        <w:numPr>
          <w:ilvl w:val="1"/>
          <w:numId w:val="16"/>
        </w:numPr>
      </w:pPr>
      <w:r>
        <w:t xml:space="preserve">An industry </w:t>
      </w:r>
      <w:r w:rsidR="004117B9">
        <w:t xml:space="preserve">sector </w:t>
      </w:r>
      <w:r>
        <w:t>representative</w:t>
      </w:r>
      <w:r w:rsidR="007F015C">
        <w:t xml:space="preserve"> </w:t>
      </w:r>
    </w:p>
    <w:p w14:paraId="486CB327" w14:textId="63CCF3B0" w:rsidR="00E5292B" w:rsidRDefault="00194B41" w:rsidP="00E5292B">
      <w:pPr>
        <w:pStyle w:val="ListParagraph"/>
        <w:numPr>
          <w:ilvl w:val="1"/>
          <w:numId w:val="16"/>
        </w:numPr>
      </w:pPr>
      <w:r>
        <w:t xml:space="preserve">2 </w:t>
      </w:r>
      <w:r w:rsidR="001C5BCA">
        <w:t>other directors</w:t>
      </w:r>
    </w:p>
    <w:p w14:paraId="462BE1B2" w14:textId="05D57BEF" w:rsidR="001C5BCA" w:rsidRDefault="001C5BCA" w:rsidP="001C5BCA">
      <w:pPr>
        <w:ind w:left="720"/>
      </w:pPr>
      <w:r>
        <w:t>NOTE: as per the MPWA Process Guide, the Board is compromised of</w:t>
      </w:r>
      <w:r w:rsidR="00434B87">
        <w:t xml:space="preserve"> Directors from </w:t>
      </w:r>
      <w:r>
        <w:t>4 secto</w:t>
      </w:r>
      <w:r w:rsidR="00434B87">
        <w:t>r</w:t>
      </w:r>
      <w:r>
        <w:t>s</w:t>
      </w:r>
      <w:r w:rsidR="00434B87">
        <w:t>.</w:t>
      </w:r>
    </w:p>
    <w:bookmarkEnd w:id="0"/>
    <w:p w14:paraId="0D21CD77" w14:textId="77777777" w:rsidR="00E5292B" w:rsidRDefault="00E5292B" w:rsidP="00194B41">
      <w:pPr>
        <w:pStyle w:val="ListParagraph"/>
        <w:ind w:left="1799"/>
      </w:pPr>
    </w:p>
    <w:p w14:paraId="64D41017" w14:textId="77777777" w:rsidR="00E5292B" w:rsidRDefault="00E5292B" w:rsidP="00E5292B">
      <w:pPr>
        <w:pStyle w:val="ListParagraph"/>
        <w:numPr>
          <w:ilvl w:val="0"/>
          <w:numId w:val="16"/>
        </w:numPr>
      </w:pPr>
      <w:r>
        <w:t xml:space="preserve">The committee can, as it sees fit, call upon the expertise of people outside the committee and outside the MPWA. </w:t>
      </w:r>
    </w:p>
    <w:p w14:paraId="0966F000" w14:textId="77777777" w:rsidR="009A0563" w:rsidRDefault="009A0563" w:rsidP="0095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Meetings</w:t>
      </w:r>
    </w:p>
    <w:p w14:paraId="4D11D311" w14:textId="02581AAD" w:rsidR="009A0563" w:rsidRPr="009A0563" w:rsidRDefault="009A0563" w:rsidP="009503F0">
      <w:r>
        <w:t>Meetings will be set as required</w:t>
      </w:r>
      <w:r w:rsidR="00C17D74">
        <w:t xml:space="preserve"> and notification will be provided electronically</w:t>
      </w:r>
      <w:r>
        <w:t>.</w:t>
      </w:r>
      <w:r w:rsidR="00157606">
        <w:t xml:space="preserve">   </w:t>
      </w:r>
    </w:p>
    <w:p w14:paraId="3FDB0D51" w14:textId="77777777" w:rsidR="00194B41" w:rsidRPr="00194B41" w:rsidRDefault="00194B41" w:rsidP="00194B41">
      <w:pPr>
        <w:rPr>
          <w:b/>
          <w:sz w:val="28"/>
          <w:szCs w:val="28"/>
        </w:rPr>
      </w:pPr>
      <w:r w:rsidRPr="00194B41">
        <w:rPr>
          <w:b/>
          <w:sz w:val="28"/>
          <w:szCs w:val="28"/>
        </w:rPr>
        <w:t>Reporting</w:t>
      </w:r>
    </w:p>
    <w:p w14:paraId="519AA39B" w14:textId="51D93BBE" w:rsidR="00194B41" w:rsidRDefault="00194B41" w:rsidP="00157606">
      <w:pPr>
        <w:pStyle w:val="ListParagraph"/>
        <w:numPr>
          <w:ilvl w:val="0"/>
          <w:numId w:val="17"/>
        </w:numPr>
      </w:pPr>
      <w:r w:rsidRPr="00194B41">
        <w:t xml:space="preserve">The </w:t>
      </w:r>
      <w:r w:rsidR="00434B87">
        <w:t>IWMP SC</w:t>
      </w:r>
      <w:r>
        <w:t xml:space="preserve"> </w:t>
      </w:r>
      <w:r w:rsidRPr="00194B41">
        <w:t>is responsible to and reports to the MPWA board (MPWA Process Guide section 6.1).</w:t>
      </w:r>
    </w:p>
    <w:p w14:paraId="7D735DFC" w14:textId="2B8946A1" w:rsidR="00157606" w:rsidRPr="00194B41" w:rsidRDefault="00157606" w:rsidP="00157606">
      <w:pPr>
        <w:pStyle w:val="ListParagraph"/>
        <w:numPr>
          <w:ilvl w:val="0"/>
          <w:numId w:val="17"/>
        </w:numPr>
      </w:pPr>
      <w:r>
        <w:t xml:space="preserve">A system of reporting </w:t>
      </w:r>
      <w:r w:rsidR="0085057E">
        <w:t xml:space="preserve">on the implementation of the IWMP </w:t>
      </w:r>
      <w:r>
        <w:t>was established by the committee and approved by the board</w:t>
      </w:r>
      <w:r w:rsidR="002929F8">
        <w:t xml:space="preserve">.  This reporting is </w:t>
      </w:r>
      <w:proofErr w:type="gramStart"/>
      <w:r w:rsidR="002929F8">
        <w:t>similar to</w:t>
      </w:r>
      <w:proofErr w:type="gramEnd"/>
      <w:r w:rsidR="002929F8">
        <w:t xml:space="preserve"> a ‘report card’ of achievements, progression, acknowledgment of concerns or issues, and future direction.</w:t>
      </w:r>
    </w:p>
    <w:p w14:paraId="34836094" w14:textId="6F2E2003" w:rsidR="00311BDF" w:rsidRDefault="00194B41" w:rsidP="00E0315B">
      <w:pPr>
        <w:pStyle w:val="ListParagraph"/>
        <w:numPr>
          <w:ilvl w:val="0"/>
          <w:numId w:val="17"/>
        </w:numPr>
      </w:pPr>
      <w:r w:rsidRPr="00194B41">
        <w:t xml:space="preserve">This reporting will at a minimum take place </w:t>
      </w:r>
      <w:r w:rsidR="006B23CD">
        <w:t xml:space="preserve">annually </w:t>
      </w:r>
      <w:r w:rsidRPr="00194B41">
        <w:t xml:space="preserve">at </w:t>
      </w:r>
      <w:r w:rsidR="006B23CD">
        <w:t>a</w:t>
      </w:r>
      <w:r w:rsidRPr="00194B41">
        <w:t xml:space="preserve"> regular meeting of the board.</w:t>
      </w:r>
    </w:p>
    <w:p w14:paraId="5EA15B08" w14:textId="17F540B9" w:rsidR="00E0315B" w:rsidRPr="00194B41" w:rsidRDefault="0085057E" w:rsidP="00E0315B">
      <w:pPr>
        <w:pStyle w:val="ListParagraph"/>
        <w:numPr>
          <w:ilvl w:val="0"/>
          <w:numId w:val="17"/>
        </w:numPr>
      </w:pPr>
      <w:r>
        <w:t xml:space="preserve">Regarding SOW work, this committee will </w:t>
      </w:r>
      <w:proofErr w:type="gramStart"/>
      <w:r w:rsidR="00E22EE3">
        <w:t>r</w:t>
      </w:r>
      <w:r w:rsidR="00E0315B">
        <w:t>ecommended</w:t>
      </w:r>
      <w:proofErr w:type="gramEnd"/>
      <w:r w:rsidR="00E0315B">
        <w:t xml:space="preserve"> approaches to State of the Watershed updates, renewals or iterations will b</w:t>
      </w:r>
      <w:r w:rsidR="009B348C">
        <w:t xml:space="preserve">e presented to the Board as work occurring and final approval </w:t>
      </w:r>
      <w:r w:rsidR="000E0FA8">
        <w:t>lies with the Board.</w:t>
      </w:r>
      <w:r w:rsidR="00E22EE3">
        <w:t xml:space="preserve"> Currently, MPWA is requested to update the SOW every 8 years or as needed (Mandate and Roles Document, 2022).</w:t>
      </w:r>
    </w:p>
    <w:p w14:paraId="2F1CDD7E" w14:textId="77777777" w:rsidR="00311BDF" w:rsidRDefault="00311BDF" w:rsidP="0095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>Quorum</w:t>
      </w:r>
    </w:p>
    <w:p w14:paraId="0169E872" w14:textId="77777777" w:rsidR="00311BDF" w:rsidRDefault="00311BDF" w:rsidP="009503F0">
      <w:pPr>
        <w:rPr>
          <w:b/>
          <w:sz w:val="28"/>
          <w:szCs w:val="28"/>
        </w:rPr>
      </w:pPr>
      <w:r>
        <w:t xml:space="preserve">A simple majority of committee </w:t>
      </w:r>
      <w:r w:rsidR="000F152B">
        <w:t>members shall constitute quorum.</w:t>
      </w:r>
      <w:r>
        <w:rPr>
          <w:b/>
          <w:sz w:val="28"/>
          <w:szCs w:val="28"/>
        </w:rPr>
        <w:tab/>
      </w:r>
    </w:p>
    <w:p w14:paraId="5706FD55" w14:textId="77777777" w:rsidR="00194B41" w:rsidRDefault="00194B41" w:rsidP="00194B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Delegation </w:t>
      </w:r>
    </w:p>
    <w:p w14:paraId="42318E41" w14:textId="0A269092" w:rsidR="00194B41" w:rsidRDefault="00194B41" w:rsidP="0088294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The </w:t>
      </w:r>
      <w:r w:rsidR="007F015C">
        <w:rPr>
          <w:sz w:val="22"/>
          <w:szCs w:val="22"/>
        </w:rPr>
        <w:t xml:space="preserve">IWMP </w:t>
      </w:r>
      <w:r w:rsidR="00882948">
        <w:rPr>
          <w:sz w:val="22"/>
          <w:szCs w:val="22"/>
        </w:rPr>
        <w:t>SC</w:t>
      </w:r>
      <w:r>
        <w:rPr>
          <w:sz w:val="22"/>
          <w:szCs w:val="22"/>
        </w:rPr>
        <w:t xml:space="preserve"> may as needed strike </w:t>
      </w:r>
      <w:r w:rsidR="00FA6CCE">
        <w:rPr>
          <w:sz w:val="22"/>
          <w:szCs w:val="22"/>
        </w:rPr>
        <w:t>Working groups</w:t>
      </w:r>
      <w:r>
        <w:rPr>
          <w:sz w:val="22"/>
          <w:szCs w:val="22"/>
        </w:rPr>
        <w:t>. The membership of the</w:t>
      </w:r>
      <w:r w:rsidR="00882948">
        <w:rPr>
          <w:sz w:val="22"/>
          <w:szCs w:val="22"/>
        </w:rPr>
        <w:t xml:space="preserve"> </w:t>
      </w:r>
      <w:r w:rsidR="00FA6CCE">
        <w:rPr>
          <w:sz w:val="22"/>
          <w:szCs w:val="22"/>
        </w:rPr>
        <w:t>working group</w:t>
      </w:r>
      <w:r>
        <w:rPr>
          <w:sz w:val="22"/>
          <w:szCs w:val="22"/>
        </w:rPr>
        <w:t xml:space="preserve">s will be determined by the </w:t>
      </w:r>
      <w:r w:rsidR="007F015C">
        <w:rPr>
          <w:sz w:val="22"/>
          <w:szCs w:val="22"/>
        </w:rPr>
        <w:t xml:space="preserve">IWMP </w:t>
      </w:r>
      <w:r w:rsidR="00882948">
        <w:rPr>
          <w:sz w:val="22"/>
          <w:szCs w:val="22"/>
        </w:rPr>
        <w:t>SC</w:t>
      </w:r>
      <w:r w:rsidR="007F015C">
        <w:rPr>
          <w:sz w:val="22"/>
          <w:szCs w:val="22"/>
        </w:rPr>
        <w:t xml:space="preserve"> </w:t>
      </w:r>
      <w:r>
        <w:rPr>
          <w:sz w:val="22"/>
          <w:szCs w:val="22"/>
        </w:rPr>
        <w:t>so that the required technical</w:t>
      </w:r>
      <w:r w:rsidR="00FA6C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expertise is present (MPWA Process Guide section 6.3 &amp; 6.4). </w:t>
      </w:r>
    </w:p>
    <w:p w14:paraId="022B39E5" w14:textId="77777777" w:rsidR="00194B41" w:rsidRDefault="00194B41" w:rsidP="00194B41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</w:t>
      </w:r>
      <w:r w:rsidR="00FA6CCE">
        <w:rPr>
          <w:sz w:val="22"/>
          <w:szCs w:val="22"/>
        </w:rPr>
        <w:t>Working groups</w:t>
      </w:r>
      <w:r>
        <w:rPr>
          <w:sz w:val="22"/>
          <w:szCs w:val="22"/>
        </w:rPr>
        <w:t xml:space="preserve"> are responsible to and report to the </w:t>
      </w:r>
      <w:r w:rsidR="007F015C">
        <w:rPr>
          <w:sz w:val="22"/>
          <w:szCs w:val="22"/>
        </w:rPr>
        <w:t>IWMP Steering</w:t>
      </w:r>
      <w:r>
        <w:rPr>
          <w:sz w:val="22"/>
          <w:szCs w:val="22"/>
        </w:rPr>
        <w:t xml:space="preserve"> Committee. </w:t>
      </w:r>
    </w:p>
    <w:p w14:paraId="4F58B758" w14:textId="77777777" w:rsidR="00194B41" w:rsidRDefault="00194B41" w:rsidP="00194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 w:rsidR="00FA6CCE">
        <w:rPr>
          <w:sz w:val="22"/>
          <w:szCs w:val="22"/>
        </w:rPr>
        <w:t>Working groups</w:t>
      </w:r>
      <w:r>
        <w:rPr>
          <w:sz w:val="22"/>
          <w:szCs w:val="22"/>
        </w:rPr>
        <w:t xml:space="preserve"> are struck for a particular task and shall not continue operate beyond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completion of the task without explicit direction from the Technical </w:t>
      </w:r>
      <w:r w:rsidR="00FA6CCE">
        <w:rPr>
          <w:sz w:val="22"/>
          <w:szCs w:val="22"/>
        </w:rPr>
        <w:t>C</w:t>
      </w:r>
      <w:r>
        <w:rPr>
          <w:sz w:val="22"/>
          <w:szCs w:val="22"/>
        </w:rPr>
        <w:t xml:space="preserve">ommittee. </w:t>
      </w:r>
    </w:p>
    <w:p w14:paraId="197E8ACF" w14:textId="10A67872" w:rsidR="00194B41" w:rsidRDefault="00194B41" w:rsidP="00194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2. The </w:t>
      </w:r>
      <w:r w:rsidR="007F015C">
        <w:rPr>
          <w:sz w:val="22"/>
          <w:szCs w:val="22"/>
        </w:rPr>
        <w:t xml:space="preserve">IWMP </w:t>
      </w:r>
      <w:r w:rsidR="00E22EE3">
        <w:rPr>
          <w:sz w:val="22"/>
          <w:szCs w:val="22"/>
        </w:rPr>
        <w:t xml:space="preserve">SC </w:t>
      </w:r>
      <w:r>
        <w:rPr>
          <w:sz w:val="22"/>
          <w:szCs w:val="22"/>
        </w:rPr>
        <w:t xml:space="preserve">may, as needed, engage consultants to complete tasks. </w:t>
      </w:r>
    </w:p>
    <w:p w14:paraId="269FD788" w14:textId="77777777" w:rsidR="00194B41" w:rsidRDefault="00194B41" w:rsidP="00194B41">
      <w:pPr>
        <w:pStyle w:val="Default"/>
        <w:spacing w:after="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The consultants will be selected through an RFP process in alignment with MPWA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guidelines and process. </w:t>
      </w:r>
    </w:p>
    <w:p w14:paraId="5D1C35F3" w14:textId="7335B7D1" w:rsidR="00194B41" w:rsidRDefault="00194B41" w:rsidP="00882948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b. The </w:t>
      </w:r>
      <w:r w:rsidR="007F015C">
        <w:rPr>
          <w:sz w:val="22"/>
          <w:szCs w:val="22"/>
        </w:rPr>
        <w:t xml:space="preserve">IWMP </w:t>
      </w:r>
      <w:r w:rsidR="00E22EE3">
        <w:rPr>
          <w:sz w:val="22"/>
          <w:szCs w:val="22"/>
        </w:rPr>
        <w:t>SC</w:t>
      </w:r>
      <w:r>
        <w:rPr>
          <w:sz w:val="22"/>
          <w:szCs w:val="22"/>
        </w:rPr>
        <w:t xml:space="preserve"> is responsible for overseeing and managing the </w:t>
      </w:r>
      <w:r w:rsidR="007F015C">
        <w:rPr>
          <w:sz w:val="22"/>
          <w:szCs w:val="22"/>
        </w:rPr>
        <w:tab/>
      </w:r>
      <w:r>
        <w:rPr>
          <w:sz w:val="22"/>
          <w:szCs w:val="22"/>
        </w:rPr>
        <w:t xml:space="preserve">consultant to ensure that the desired results are obtained. </w:t>
      </w:r>
    </w:p>
    <w:p w14:paraId="4E8C3F3F" w14:textId="77777777" w:rsidR="000E0FA8" w:rsidRDefault="00194B41" w:rsidP="000E0FA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 The </w:t>
      </w:r>
      <w:r w:rsidR="007F015C">
        <w:rPr>
          <w:sz w:val="22"/>
          <w:szCs w:val="22"/>
        </w:rPr>
        <w:t>IWMP Steering</w:t>
      </w:r>
      <w:r>
        <w:rPr>
          <w:sz w:val="22"/>
          <w:szCs w:val="22"/>
        </w:rPr>
        <w:t xml:space="preserve"> Committee </w:t>
      </w:r>
      <w:proofErr w:type="gramStart"/>
      <w:r>
        <w:rPr>
          <w:sz w:val="22"/>
          <w:szCs w:val="22"/>
        </w:rPr>
        <w:t>has the ability to</w:t>
      </w:r>
      <w:proofErr w:type="gramEnd"/>
      <w:r>
        <w:rPr>
          <w:sz w:val="22"/>
          <w:szCs w:val="22"/>
        </w:rPr>
        <w:t xml:space="preserve"> delegate the completion of tasks to others</w:t>
      </w:r>
      <w:r w:rsidR="000E0FA8">
        <w:rPr>
          <w:sz w:val="22"/>
          <w:szCs w:val="22"/>
        </w:rPr>
        <w:t xml:space="preserve"> </w:t>
      </w:r>
    </w:p>
    <w:p w14:paraId="1E4E984D" w14:textId="36C0B347" w:rsidR="00194B41" w:rsidRDefault="000E0FA8" w:rsidP="000E0FA8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(including the Technical Committee)</w:t>
      </w:r>
      <w:r w:rsidR="00194B41">
        <w:rPr>
          <w:sz w:val="22"/>
          <w:szCs w:val="22"/>
        </w:rPr>
        <w:t xml:space="preserve"> as </w:t>
      </w:r>
      <w:r w:rsidR="00194B41">
        <w:rPr>
          <w:sz w:val="22"/>
          <w:szCs w:val="22"/>
        </w:rPr>
        <w:tab/>
        <w:t xml:space="preserve">needed, but responsibility is never </w:t>
      </w:r>
      <w:r w:rsidR="007F015C">
        <w:rPr>
          <w:sz w:val="22"/>
          <w:szCs w:val="22"/>
        </w:rPr>
        <w:t>delegated and remains with the IWMP Steering</w:t>
      </w:r>
      <w:r w:rsidR="00194B41">
        <w:rPr>
          <w:sz w:val="22"/>
          <w:szCs w:val="22"/>
        </w:rPr>
        <w:t xml:space="preserve"> Committee. </w:t>
      </w:r>
    </w:p>
    <w:p w14:paraId="48358076" w14:textId="77777777" w:rsidR="00F402C8" w:rsidRDefault="00F402C8" w:rsidP="00F402C8">
      <w:pPr>
        <w:ind w:left="284"/>
      </w:pPr>
    </w:p>
    <w:p w14:paraId="478E1B70" w14:textId="77777777" w:rsidR="00F402C8" w:rsidRDefault="00F402C8" w:rsidP="0095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Timelines</w:t>
      </w:r>
    </w:p>
    <w:p w14:paraId="6211E7D0" w14:textId="7F7885ED" w:rsidR="00E24332" w:rsidRDefault="006B23CD" w:rsidP="00E24332">
      <w:r>
        <w:t>An annual review should be completed at the close of every fiscal year (April 1 – March 31).</w:t>
      </w:r>
    </w:p>
    <w:p w14:paraId="4DB6C81D" w14:textId="7827D37A" w:rsidR="00157606" w:rsidRDefault="00157606" w:rsidP="00E24332"/>
    <w:p w14:paraId="3EB111AD" w14:textId="3031113B" w:rsidR="002929F8" w:rsidRDefault="002929F8" w:rsidP="00292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#1</w:t>
      </w:r>
    </w:p>
    <w:p w14:paraId="2DB834E5" w14:textId="5572A8F6" w:rsidR="00157606" w:rsidRPr="0099230B" w:rsidRDefault="002929F8" w:rsidP="00E24332">
      <w:pPr>
        <w:rPr>
          <w:b/>
        </w:rPr>
      </w:pPr>
      <w:r w:rsidRPr="0099230B">
        <w:rPr>
          <w:b/>
        </w:rPr>
        <w:t xml:space="preserve">The current committee as of </w:t>
      </w:r>
      <w:r w:rsidR="000E0FA8">
        <w:rPr>
          <w:b/>
        </w:rPr>
        <w:t>December 5</w:t>
      </w:r>
      <w:r w:rsidRPr="0099230B">
        <w:rPr>
          <w:b/>
        </w:rPr>
        <w:t>, 202</w:t>
      </w:r>
      <w:r w:rsidR="000E0FA8">
        <w:rPr>
          <w:b/>
        </w:rPr>
        <w:t>4</w:t>
      </w:r>
    </w:p>
    <w:p w14:paraId="5C8ACB3E" w14:textId="77777777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>Chairman of the board (</w:t>
      </w:r>
      <w:r w:rsidRPr="0099230B">
        <w:rPr>
          <w:b/>
          <w:i/>
        </w:rPr>
        <w:t xml:space="preserve">ex officio) </w:t>
      </w:r>
      <w:r w:rsidRPr="0099230B">
        <w:rPr>
          <w:b/>
        </w:rPr>
        <w:t>(Chris Thiessen)</w:t>
      </w:r>
    </w:p>
    <w:p w14:paraId="53A3E2FD" w14:textId="0CE6BB4B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>A non-government organization representative (</w:t>
      </w:r>
      <w:r w:rsidR="00D25933">
        <w:rPr>
          <w:b/>
        </w:rPr>
        <w:t>Dave Walty</w:t>
      </w:r>
      <w:r w:rsidRPr="0099230B">
        <w:rPr>
          <w:b/>
        </w:rPr>
        <w:t>)</w:t>
      </w:r>
    </w:p>
    <w:p w14:paraId="5147D91A" w14:textId="5E83262F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>A government representative (</w:t>
      </w:r>
      <w:r w:rsidR="002929F8" w:rsidRPr="0099230B">
        <w:rPr>
          <w:b/>
        </w:rPr>
        <w:t>Abdi Siad-Omar</w:t>
      </w:r>
      <w:r w:rsidRPr="0099230B">
        <w:rPr>
          <w:b/>
        </w:rPr>
        <w:t>)</w:t>
      </w:r>
    </w:p>
    <w:p w14:paraId="4C60A871" w14:textId="56163457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 xml:space="preserve">An </w:t>
      </w:r>
      <w:r w:rsidR="002929F8" w:rsidRPr="0099230B">
        <w:rPr>
          <w:b/>
        </w:rPr>
        <w:t>Indigenous</w:t>
      </w:r>
      <w:r w:rsidRPr="0099230B">
        <w:rPr>
          <w:b/>
        </w:rPr>
        <w:t xml:space="preserve"> </w:t>
      </w:r>
      <w:r w:rsidR="002929F8" w:rsidRPr="0099230B">
        <w:rPr>
          <w:b/>
        </w:rPr>
        <w:t>C</w:t>
      </w:r>
      <w:r w:rsidRPr="0099230B">
        <w:rPr>
          <w:b/>
        </w:rPr>
        <w:t>ommunities representative (</w:t>
      </w:r>
      <w:r w:rsidR="000E0FA8">
        <w:rPr>
          <w:b/>
        </w:rPr>
        <w:t>Alden Armstrong</w:t>
      </w:r>
      <w:r w:rsidRPr="0099230B">
        <w:rPr>
          <w:b/>
        </w:rPr>
        <w:t>)</w:t>
      </w:r>
    </w:p>
    <w:p w14:paraId="332AC367" w14:textId="0484D948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>An industry representative (</w:t>
      </w:r>
      <w:r w:rsidR="000E0FA8">
        <w:rPr>
          <w:b/>
        </w:rPr>
        <w:t>Wayne Thorp</w:t>
      </w:r>
      <w:r w:rsidRPr="0099230B">
        <w:rPr>
          <w:b/>
        </w:rPr>
        <w:t>)</w:t>
      </w:r>
    </w:p>
    <w:p w14:paraId="0A9723C8" w14:textId="4207D01C" w:rsidR="00157606" w:rsidRPr="0099230B" w:rsidRDefault="00157606" w:rsidP="00157606">
      <w:pPr>
        <w:pStyle w:val="ListParagraph"/>
        <w:numPr>
          <w:ilvl w:val="1"/>
          <w:numId w:val="16"/>
        </w:numPr>
        <w:rPr>
          <w:b/>
        </w:rPr>
      </w:pPr>
      <w:r w:rsidRPr="0099230B">
        <w:rPr>
          <w:b/>
        </w:rPr>
        <w:t xml:space="preserve">2 </w:t>
      </w:r>
      <w:r w:rsidR="00882948">
        <w:rPr>
          <w:b/>
        </w:rPr>
        <w:t>other Directors</w:t>
      </w:r>
      <w:r w:rsidRPr="0099230B">
        <w:rPr>
          <w:b/>
        </w:rPr>
        <w:t xml:space="preserve"> (</w:t>
      </w:r>
      <w:r w:rsidR="000E0FA8">
        <w:rPr>
          <w:b/>
        </w:rPr>
        <w:t>Corinna Williams</w:t>
      </w:r>
      <w:r w:rsidRPr="0099230B">
        <w:rPr>
          <w:b/>
        </w:rPr>
        <w:t xml:space="preserve"> and </w:t>
      </w:r>
      <w:r w:rsidR="00D25933">
        <w:rPr>
          <w:b/>
        </w:rPr>
        <w:t>Ashley Rowney</w:t>
      </w:r>
      <w:r w:rsidRPr="0099230B">
        <w:rPr>
          <w:b/>
        </w:rPr>
        <w:t>).</w:t>
      </w:r>
    </w:p>
    <w:p w14:paraId="28C3182C" w14:textId="77777777" w:rsidR="00157606" w:rsidRPr="00E24332" w:rsidRDefault="00157606" w:rsidP="00E24332"/>
    <w:sectPr w:rsidR="00157606" w:rsidRPr="00E24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5A1A" w14:textId="77777777" w:rsidR="00F0205E" w:rsidRDefault="00F0205E" w:rsidP="00F446A5">
      <w:pPr>
        <w:spacing w:after="0" w:line="240" w:lineRule="auto"/>
      </w:pPr>
      <w:r>
        <w:separator/>
      </w:r>
    </w:p>
  </w:endnote>
  <w:endnote w:type="continuationSeparator" w:id="0">
    <w:p w14:paraId="63EEDB8C" w14:textId="77777777" w:rsidR="00F0205E" w:rsidRDefault="00F0205E" w:rsidP="00F4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BA0A" w14:textId="77777777" w:rsidR="000E0FA8" w:rsidRDefault="000E0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6397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A3AB2D2" w14:textId="77777777" w:rsidR="007D20D7" w:rsidRDefault="007D20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82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8EB0220" w14:textId="77777777" w:rsidR="007D20D7" w:rsidRDefault="007D2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5824" w14:textId="77777777" w:rsidR="000E0FA8" w:rsidRDefault="000E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DDCA" w14:textId="77777777" w:rsidR="00F0205E" w:rsidRDefault="00F0205E" w:rsidP="00F446A5">
      <w:pPr>
        <w:spacing w:after="0" w:line="240" w:lineRule="auto"/>
      </w:pPr>
      <w:r>
        <w:separator/>
      </w:r>
    </w:p>
  </w:footnote>
  <w:footnote w:type="continuationSeparator" w:id="0">
    <w:p w14:paraId="39E69596" w14:textId="77777777" w:rsidR="00F0205E" w:rsidRDefault="00F0205E" w:rsidP="00F4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C355" w14:textId="77777777" w:rsidR="000E0FA8" w:rsidRDefault="000E0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C4DB" w14:textId="2D99C0B5" w:rsidR="00F446A5" w:rsidRDefault="000E0FA8">
    <w:pPr>
      <w:pStyle w:val="Header"/>
    </w:pPr>
    <w:sdt>
      <w:sdtPr>
        <w:id w:val="-50008238"/>
        <w:docPartObj>
          <w:docPartGallery w:val="Watermarks"/>
          <w:docPartUnique/>
        </w:docPartObj>
      </w:sdtPr>
      <w:sdtContent>
        <w:r>
          <w:rPr>
            <w:noProof/>
          </w:rPr>
          <w:pict w14:anchorId="613187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17D74">
      <w:t>Integrated Watershed Management Plan</w:t>
    </w:r>
    <w:r w:rsidR="003635B9">
      <w:t xml:space="preserve"> Steering Committee </w:t>
    </w:r>
    <w:r w:rsidR="00B05377">
      <w:t xml:space="preserve">Terms of Reference </w:t>
    </w:r>
    <w:r>
      <w:t>December 16</w:t>
    </w:r>
    <w:r w:rsidR="0026113C" w:rsidRPr="006B23CD">
      <w:rPr>
        <w:vertAlign w:val="superscript"/>
      </w:rPr>
      <w:t>th</w:t>
    </w:r>
    <w:r w:rsidR="00B05377">
      <w:t>, 20</w:t>
    </w:r>
    <w:r w:rsidR="0026113C">
      <w:t>2</w:t>
    </w:r>
    <w:r>
      <w:t>4</w:t>
    </w:r>
  </w:p>
  <w:p w14:paraId="1B39E2EC" w14:textId="77777777" w:rsidR="003635B9" w:rsidRDefault="00363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814E" w14:textId="77777777" w:rsidR="000E0FA8" w:rsidRDefault="000E0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A0C"/>
    <w:multiLevelType w:val="hybridMultilevel"/>
    <w:tmpl w:val="CD9EA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31D8"/>
    <w:multiLevelType w:val="hybridMultilevel"/>
    <w:tmpl w:val="D82E01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00146"/>
    <w:multiLevelType w:val="hybridMultilevel"/>
    <w:tmpl w:val="3474C0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51CA"/>
    <w:multiLevelType w:val="hybridMultilevel"/>
    <w:tmpl w:val="2E06F16C"/>
    <w:lvl w:ilvl="0" w:tplc="7568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D23E2"/>
    <w:multiLevelType w:val="hybridMultilevel"/>
    <w:tmpl w:val="68EEE7C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312F5"/>
    <w:multiLevelType w:val="hybridMultilevel"/>
    <w:tmpl w:val="CD0272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B0C40"/>
    <w:multiLevelType w:val="hybridMultilevel"/>
    <w:tmpl w:val="38A4466A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2CBF5717"/>
    <w:multiLevelType w:val="hybridMultilevel"/>
    <w:tmpl w:val="C38C464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715DCE"/>
    <w:multiLevelType w:val="hybridMultilevel"/>
    <w:tmpl w:val="F458714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376647"/>
    <w:multiLevelType w:val="hybridMultilevel"/>
    <w:tmpl w:val="31529B46"/>
    <w:lvl w:ilvl="0" w:tplc="27C2A1A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34D75070"/>
    <w:multiLevelType w:val="hybridMultilevel"/>
    <w:tmpl w:val="4C6C23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627E9"/>
    <w:multiLevelType w:val="hybridMultilevel"/>
    <w:tmpl w:val="C5249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62DC"/>
    <w:multiLevelType w:val="hybridMultilevel"/>
    <w:tmpl w:val="C344ADD2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5C9E53AA"/>
    <w:multiLevelType w:val="hybridMultilevel"/>
    <w:tmpl w:val="CF188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25A89"/>
    <w:multiLevelType w:val="hybridMultilevel"/>
    <w:tmpl w:val="21DC6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9110A"/>
    <w:multiLevelType w:val="hybridMultilevel"/>
    <w:tmpl w:val="91D29F20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063CB"/>
    <w:multiLevelType w:val="hybridMultilevel"/>
    <w:tmpl w:val="E998E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1706">
    <w:abstractNumId w:val="12"/>
  </w:num>
  <w:num w:numId="2" w16cid:durableId="1961565024">
    <w:abstractNumId w:val="13"/>
  </w:num>
  <w:num w:numId="3" w16cid:durableId="2015380963">
    <w:abstractNumId w:val="2"/>
  </w:num>
  <w:num w:numId="4" w16cid:durableId="1183477561">
    <w:abstractNumId w:val="15"/>
  </w:num>
  <w:num w:numId="5" w16cid:durableId="1229269334">
    <w:abstractNumId w:val="11"/>
  </w:num>
  <w:num w:numId="6" w16cid:durableId="1485928335">
    <w:abstractNumId w:val="1"/>
  </w:num>
  <w:num w:numId="7" w16cid:durableId="132262992">
    <w:abstractNumId w:val="10"/>
  </w:num>
  <w:num w:numId="8" w16cid:durableId="2058355854">
    <w:abstractNumId w:val="7"/>
  </w:num>
  <w:num w:numId="9" w16cid:durableId="1013383465">
    <w:abstractNumId w:val="14"/>
  </w:num>
  <w:num w:numId="10" w16cid:durableId="2103721943">
    <w:abstractNumId w:val="0"/>
  </w:num>
  <w:num w:numId="11" w16cid:durableId="1710298751">
    <w:abstractNumId w:val="16"/>
  </w:num>
  <w:num w:numId="12" w16cid:durableId="164127002">
    <w:abstractNumId w:val="6"/>
  </w:num>
  <w:num w:numId="13" w16cid:durableId="336463598">
    <w:abstractNumId w:val="4"/>
  </w:num>
  <w:num w:numId="14" w16cid:durableId="1295715182">
    <w:abstractNumId w:val="5"/>
  </w:num>
  <w:num w:numId="15" w16cid:durableId="915361081">
    <w:abstractNumId w:val="8"/>
  </w:num>
  <w:num w:numId="16" w16cid:durableId="1399983644">
    <w:abstractNumId w:val="9"/>
  </w:num>
  <w:num w:numId="17" w16cid:durableId="96751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32"/>
    <w:rsid w:val="00082512"/>
    <w:rsid w:val="000B44FC"/>
    <w:rsid w:val="000E0FA8"/>
    <w:rsid w:val="000F152B"/>
    <w:rsid w:val="00102131"/>
    <w:rsid w:val="00126455"/>
    <w:rsid w:val="00157606"/>
    <w:rsid w:val="001828F7"/>
    <w:rsid w:val="00194B41"/>
    <w:rsid w:val="001C3BB5"/>
    <w:rsid w:val="001C5BCA"/>
    <w:rsid w:val="001E6A35"/>
    <w:rsid w:val="001F52EA"/>
    <w:rsid w:val="0026113C"/>
    <w:rsid w:val="00273B04"/>
    <w:rsid w:val="002929F8"/>
    <w:rsid w:val="002D20C1"/>
    <w:rsid w:val="002E5892"/>
    <w:rsid w:val="0030552D"/>
    <w:rsid w:val="00311BDF"/>
    <w:rsid w:val="00343977"/>
    <w:rsid w:val="00351603"/>
    <w:rsid w:val="003635B9"/>
    <w:rsid w:val="003A62CA"/>
    <w:rsid w:val="003C272A"/>
    <w:rsid w:val="003F7B4B"/>
    <w:rsid w:val="004117B9"/>
    <w:rsid w:val="0042683F"/>
    <w:rsid w:val="00434B87"/>
    <w:rsid w:val="00441096"/>
    <w:rsid w:val="004940EE"/>
    <w:rsid w:val="00504ED7"/>
    <w:rsid w:val="00524D47"/>
    <w:rsid w:val="005445F9"/>
    <w:rsid w:val="0057386D"/>
    <w:rsid w:val="00576FCC"/>
    <w:rsid w:val="0058613C"/>
    <w:rsid w:val="005906EA"/>
    <w:rsid w:val="005B45CF"/>
    <w:rsid w:val="005C25D5"/>
    <w:rsid w:val="00624F4C"/>
    <w:rsid w:val="006A6589"/>
    <w:rsid w:val="006B23CD"/>
    <w:rsid w:val="006E3FCF"/>
    <w:rsid w:val="006F0F07"/>
    <w:rsid w:val="007626F3"/>
    <w:rsid w:val="007A66BB"/>
    <w:rsid w:val="007D20D7"/>
    <w:rsid w:val="007F015C"/>
    <w:rsid w:val="0085057E"/>
    <w:rsid w:val="00882948"/>
    <w:rsid w:val="008E3A80"/>
    <w:rsid w:val="009042FC"/>
    <w:rsid w:val="009503F0"/>
    <w:rsid w:val="00971B04"/>
    <w:rsid w:val="0099230B"/>
    <w:rsid w:val="009A0563"/>
    <w:rsid w:val="009A4EFC"/>
    <w:rsid w:val="009B348C"/>
    <w:rsid w:val="00AA3980"/>
    <w:rsid w:val="00AA456D"/>
    <w:rsid w:val="00B015C5"/>
    <w:rsid w:val="00B05377"/>
    <w:rsid w:val="00B06BC7"/>
    <w:rsid w:val="00B77992"/>
    <w:rsid w:val="00BE2ED9"/>
    <w:rsid w:val="00C1582D"/>
    <w:rsid w:val="00C16452"/>
    <w:rsid w:val="00C17D74"/>
    <w:rsid w:val="00C270A3"/>
    <w:rsid w:val="00CB275A"/>
    <w:rsid w:val="00CD1EDA"/>
    <w:rsid w:val="00CD3832"/>
    <w:rsid w:val="00CD7586"/>
    <w:rsid w:val="00D25933"/>
    <w:rsid w:val="00D63E92"/>
    <w:rsid w:val="00D67B1A"/>
    <w:rsid w:val="00D87099"/>
    <w:rsid w:val="00E0315B"/>
    <w:rsid w:val="00E22EE3"/>
    <w:rsid w:val="00E24332"/>
    <w:rsid w:val="00E5292B"/>
    <w:rsid w:val="00E701DA"/>
    <w:rsid w:val="00E94821"/>
    <w:rsid w:val="00E94AEF"/>
    <w:rsid w:val="00F0205E"/>
    <w:rsid w:val="00F402C8"/>
    <w:rsid w:val="00F446A5"/>
    <w:rsid w:val="00F606F1"/>
    <w:rsid w:val="00FA6CCE"/>
    <w:rsid w:val="00FD71C4"/>
    <w:rsid w:val="00FE504E"/>
    <w:rsid w:val="00FE5C88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9EED2"/>
  <w15:docId w15:val="{BD47CE9D-4635-4181-8D3B-4DF55BC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332"/>
    <w:pPr>
      <w:ind w:left="720"/>
      <w:contextualSpacing/>
    </w:pPr>
  </w:style>
  <w:style w:type="table" w:styleId="TableGrid">
    <w:name w:val="Table Grid"/>
    <w:basedOn w:val="TableNormal"/>
    <w:uiPriority w:val="59"/>
    <w:rsid w:val="00B0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A5"/>
  </w:style>
  <w:style w:type="paragraph" w:styleId="Footer">
    <w:name w:val="footer"/>
    <w:basedOn w:val="Normal"/>
    <w:link w:val="FooterChar"/>
    <w:uiPriority w:val="99"/>
    <w:unhideWhenUsed/>
    <w:rsid w:val="00F4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A5"/>
  </w:style>
  <w:style w:type="paragraph" w:customStyle="1" w:styleId="Default">
    <w:name w:val="Default"/>
    <w:rsid w:val="00194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B198321447D4CA686E34EE8539D57" ma:contentTypeVersion="13" ma:contentTypeDescription="Create a new document." ma:contentTypeScope="" ma:versionID="a1af08a2ee9fe2bcd4b3141858d243d2">
  <xsd:schema xmlns:xsd="http://www.w3.org/2001/XMLSchema" xmlns:xs="http://www.w3.org/2001/XMLSchema" xmlns:p="http://schemas.microsoft.com/office/2006/metadata/properties" xmlns:ns2="26d808c6-03c6-4514-bb17-b7e0aaa57f2f" xmlns:ns3="766abe85-1f3d-455f-b9e6-e324e113a902" targetNamespace="http://schemas.microsoft.com/office/2006/metadata/properties" ma:root="true" ma:fieldsID="596c9765cc5136810bbc3e505a5c70bd" ns2:_="" ns3:_="">
    <xsd:import namespace="26d808c6-03c6-4514-bb17-b7e0aaa57f2f"/>
    <xsd:import namespace="766abe85-1f3d-455f-b9e6-e324e113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08c6-03c6-4514-bb17-b7e0aaa57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4b1e16-4598-4e45-af81-e2c12b3de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be85-1f3d-455f-b9e6-e324e113a9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29168d-967d-4d40-a0cc-91e5496ce136}" ma:internalName="TaxCatchAll" ma:showField="CatchAllData" ma:web="766abe85-1f3d-455f-b9e6-e324e113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808c6-03c6-4514-bb17-b7e0aaa57f2f">
      <Terms xmlns="http://schemas.microsoft.com/office/infopath/2007/PartnerControls"/>
    </lcf76f155ced4ddcb4097134ff3c332f>
    <TaxCatchAll xmlns="766abe85-1f3d-455f-b9e6-e324e113a902" xsi:nil="true"/>
  </documentManagement>
</p:properties>
</file>

<file path=customXml/itemProps1.xml><?xml version="1.0" encoding="utf-8"?>
<ds:datastoreItem xmlns:ds="http://schemas.openxmlformats.org/officeDocument/2006/customXml" ds:itemID="{FA14257C-8345-48B1-B7B1-8A53551869AA}"/>
</file>

<file path=customXml/itemProps2.xml><?xml version="1.0" encoding="utf-8"?>
<ds:datastoreItem xmlns:ds="http://schemas.openxmlformats.org/officeDocument/2006/customXml" ds:itemID="{B629F782-7527-4657-9AD0-058F4CD6E556}"/>
</file>

<file path=customXml/itemProps3.xml><?xml version="1.0" encoding="utf-8"?>
<ds:datastoreItem xmlns:ds="http://schemas.openxmlformats.org/officeDocument/2006/customXml" ds:itemID="{AE3B8731-D0E5-4C84-AA1F-B5EDBB5C3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MPWA</dc:creator>
  <cp:lastModifiedBy>Adam Norris</cp:lastModifiedBy>
  <cp:revision>2</cp:revision>
  <cp:lastPrinted>2024-12-16T17:11:00Z</cp:lastPrinted>
  <dcterms:created xsi:type="dcterms:W3CDTF">2024-12-16T22:01:00Z</dcterms:created>
  <dcterms:modified xsi:type="dcterms:W3CDTF">2024-12-16T22:01:00Z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0x010100A8AB198321447D4CA686E34EE8539D57</vt:lpwstr>
  </property>
</Properties>
</file>